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A4EA7" w14:textId="079B5595" w:rsidR="00C75461" w:rsidRPr="00C662D6" w:rsidRDefault="00615E6F" w:rsidP="00615E6F">
      <w:pPr>
        <w:pStyle w:val="TableBodyText85"/>
        <w:spacing w:before="100" w:after="10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6D2EECCC" wp14:editId="67854AA1">
            <wp:extent cx="283845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bottomFromText="200" w:vertAnchor="text" w:horzAnchor="margin" w:tblpY="136"/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0"/>
      </w:tblGrid>
      <w:tr w:rsidR="00F52C3D" w:rsidRPr="00F52C3D" w14:paraId="09EEB722" w14:textId="77777777" w:rsidTr="00615E6F">
        <w:trPr>
          <w:trHeight w:val="2494"/>
        </w:trPr>
        <w:tc>
          <w:tcPr>
            <w:tcW w:w="9350" w:type="dxa"/>
            <w:vAlign w:val="center"/>
          </w:tcPr>
          <w:p w14:paraId="03E7E7C1" w14:textId="77777777" w:rsidR="00F52C3D" w:rsidRDefault="00F52C3D" w:rsidP="00615E6F">
            <w:pPr>
              <w:pStyle w:val="MELawyerName"/>
              <w:ind w:left="1588"/>
              <w:jc w:val="right"/>
              <w:rPr>
                <w:rFonts w:ascii="Arial" w:hAnsi="Arial" w:cs="Arial"/>
                <w:noProof/>
                <w:color w:val="44546A" w:themeColor="text2"/>
                <w:sz w:val="22"/>
              </w:rPr>
            </w:pPr>
          </w:p>
          <w:p w14:paraId="40F83456" w14:textId="6254C498" w:rsidR="00C75461" w:rsidRPr="00FF5F94" w:rsidRDefault="00C75461" w:rsidP="00615E6F">
            <w:pPr>
              <w:pStyle w:val="MELawyerName"/>
              <w:ind w:left="1588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F5F94">
              <w:rPr>
                <w:rFonts w:ascii="Arial" w:hAnsi="Arial" w:cs="Arial"/>
                <w:noProof/>
                <w:color w:val="auto"/>
                <w:sz w:val="22"/>
                <w:lang w:val="en-US" w:eastAsia="en-US" w:bidi="ar-SA"/>
              </w:rPr>
              <w:drawing>
                <wp:anchor distT="0" distB="0" distL="114300" distR="114300" simplePos="0" relativeHeight="251679232" behindDoc="0" locked="0" layoutInCell="1" allowOverlap="1" wp14:anchorId="11313869" wp14:editId="284DE1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85190" cy="114427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F5F94">
              <w:rPr>
                <w:rFonts w:ascii="Arial" w:hAnsi="Arial" w:cs="Arial"/>
                <w:noProof/>
                <w:color w:val="auto"/>
                <w:sz w:val="22"/>
              </w:rPr>
              <w:t>Stephen Lewis</w:t>
            </w:r>
            <w:r w:rsidR="00F52C3D" w:rsidRPr="00FF5F94">
              <w:rPr>
                <w:rFonts w:ascii="Arial" w:hAnsi="Arial" w:cs="Arial"/>
                <w:noProof/>
                <w:color w:val="auto"/>
                <w:sz w:val="18"/>
                <w:szCs w:val="18"/>
              </w:rPr>
              <w:t xml:space="preserve">                                  </w:t>
            </w:r>
          </w:p>
          <w:p w14:paraId="0CFC8EA7" w14:textId="489AD1DD" w:rsidR="00C75461" w:rsidRPr="005B482F" w:rsidRDefault="00C75461" w:rsidP="00615E6F">
            <w:pPr>
              <w:pStyle w:val="MELawyergroup"/>
              <w:ind w:left="1588"/>
              <w:rPr>
                <w:rFonts w:ascii="Arial" w:hAnsi="Arial" w:cs="Arial"/>
                <w:noProof/>
                <w:szCs w:val="20"/>
              </w:rPr>
            </w:pPr>
            <w:r w:rsidRPr="005B482F">
              <w:rPr>
                <w:rFonts w:ascii="Arial" w:hAnsi="Arial" w:cs="Arial"/>
                <w:noProof/>
                <w:szCs w:val="20"/>
              </w:rPr>
              <w:t>Consultant</w:t>
            </w:r>
          </w:p>
          <w:p w14:paraId="7671F887" w14:textId="3FEE23E8" w:rsidR="00A92509" w:rsidRDefault="00A92509" w:rsidP="00615E6F">
            <w:pPr>
              <w:rPr>
                <w:rFonts w:ascii="Arial" w:hAnsi="Arial" w:cs="Arial"/>
              </w:rPr>
            </w:pPr>
            <w:r w:rsidRPr="00A92509">
              <w:rPr>
                <w:rFonts w:ascii="Arial" w:hAnsi="Arial" w:cs="Arial"/>
              </w:rPr>
              <w:t>SWL Consulting</w:t>
            </w:r>
          </w:p>
          <w:p w14:paraId="2DE459B1" w14:textId="5FC97CCD" w:rsidR="001321A7" w:rsidRPr="00A92509" w:rsidRDefault="001321A7" w:rsidP="00615E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M: 0466 151 804</w:t>
            </w:r>
            <w:bookmarkStart w:id="0" w:name="_GoBack"/>
            <w:bookmarkEnd w:id="0"/>
          </w:p>
          <w:p w14:paraId="2B1CC643" w14:textId="5883B2FC" w:rsidR="00C75461" w:rsidRPr="00F52C3D" w:rsidRDefault="00C75461" w:rsidP="00676FE4">
            <w:pPr>
              <w:rPr>
                <w:color w:val="44546A" w:themeColor="text2"/>
              </w:rPr>
            </w:pPr>
          </w:p>
        </w:tc>
      </w:tr>
    </w:tbl>
    <w:p w14:paraId="59582D4C" w14:textId="3563E95B" w:rsidR="00C75461" w:rsidRPr="00FF5F94" w:rsidRDefault="00FF5F94" w:rsidP="00F52C3D">
      <w:pPr>
        <w:pStyle w:val="Style1"/>
        <w:rPr>
          <w:rFonts w:ascii="Arial" w:hAnsi="Arial" w:cs="Arial"/>
          <w:b/>
          <w:sz w:val="18"/>
          <w:szCs w:val="18"/>
        </w:rPr>
      </w:pPr>
      <w:r w:rsidRPr="00FF5F94">
        <w:rPr>
          <w:rFonts w:ascii="Arial" w:eastAsia="Times New Roman" w:hAnsi="Arial"/>
          <w:b/>
          <w:sz w:val="20"/>
          <w:lang w:val="en-AU" w:eastAsia="zh-CN"/>
        </w:rPr>
        <w:t>Procurement</w:t>
      </w:r>
      <w:r w:rsidR="00615E6F">
        <w:rPr>
          <w:rFonts w:ascii="Arial" w:eastAsia="Times New Roman" w:hAnsi="Arial"/>
          <w:b/>
          <w:sz w:val="20"/>
          <w:lang w:val="en-AU" w:eastAsia="zh-CN"/>
        </w:rPr>
        <w:t>, Risk Management</w:t>
      </w:r>
      <w:r w:rsidR="004C0496">
        <w:rPr>
          <w:rFonts w:ascii="Arial" w:eastAsia="Times New Roman" w:hAnsi="Arial"/>
          <w:b/>
          <w:sz w:val="20"/>
          <w:lang w:val="en-AU" w:eastAsia="zh-CN"/>
        </w:rPr>
        <w:t xml:space="preserve"> and Major Projects </w:t>
      </w:r>
      <w:r w:rsidR="00F52C3D" w:rsidRPr="00FF5F94">
        <w:rPr>
          <w:rFonts w:ascii="Arial" w:hAnsi="Arial" w:cs="Arial"/>
          <w:b/>
          <w:sz w:val="18"/>
          <w:szCs w:val="18"/>
        </w:rPr>
        <w:t xml:space="preserve"> </w:t>
      </w:r>
    </w:p>
    <w:p w14:paraId="73B2D5A4" w14:textId="7F39BE2F" w:rsidR="00C22631" w:rsidRPr="00C22631" w:rsidRDefault="00C22631" w:rsidP="00C22631">
      <w:pPr>
        <w:pStyle w:val="MEBioHeading2"/>
        <w:spacing w:line="240" w:lineRule="auto"/>
        <w:rPr>
          <w:rFonts w:ascii="Arial" w:hAnsi="Arial" w:cs="Arial"/>
          <w:color w:val="auto"/>
          <w:sz w:val="18"/>
          <w:szCs w:val="18"/>
        </w:rPr>
      </w:pPr>
      <w:r w:rsidRPr="00C22631">
        <w:rPr>
          <w:rFonts w:ascii="Arial" w:hAnsi="Arial" w:cs="Arial"/>
          <w:color w:val="auto"/>
          <w:sz w:val="18"/>
          <w:szCs w:val="18"/>
        </w:rPr>
        <w:t>Stephen is the Managing Director of SWL Consulting</w:t>
      </w:r>
      <w:r>
        <w:rPr>
          <w:rFonts w:ascii="Arial" w:hAnsi="Arial" w:cs="Arial"/>
          <w:color w:val="auto"/>
          <w:sz w:val="18"/>
          <w:szCs w:val="18"/>
        </w:rPr>
        <w:t>,</w:t>
      </w:r>
      <w:r w:rsidRPr="00C22631"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 xml:space="preserve">a boutique legal and </w:t>
      </w:r>
      <w:r w:rsidR="007918F6">
        <w:rPr>
          <w:rFonts w:ascii="Arial" w:hAnsi="Arial" w:cs="Arial"/>
          <w:color w:val="auto"/>
          <w:sz w:val="18"/>
          <w:szCs w:val="18"/>
        </w:rPr>
        <w:t xml:space="preserve">commercial </w:t>
      </w:r>
      <w:r>
        <w:rPr>
          <w:rFonts w:ascii="Arial" w:hAnsi="Arial" w:cs="Arial"/>
          <w:color w:val="auto"/>
          <w:sz w:val="18"/>
          <w:szCs w:val="18"/>
        </w:rPr>
        <w:t xml:space="preserve">advisory consulting firm specialising in procurement, risk management and major project delivery. He is </w:t>
      </w:r>
      <w:r w:rsidR="004931FC">
        <w:rPr>
          <w:rFonts w:ascii="Arial" w:hAnsi="Arial" w:cs="Arial"/>
          <w:color w:val="auto"/>
          <w:sz w:val="18"/>
          <w:szCs w:val="18"/>
        </w:rPr>
        <w:t>currently a</w:t>
      </w:r>
      <w:r w:rsidRPr="00C22631">
        <w:rPr>
          <w:rFonts w:ascii="Arial" w:hAnsi="Arial" w:cs="Arial"/>
          <w:color w:val="auto"/>
          <w:sz w:val="18"/>
          <w:szCs w:val="18"/>
        </w:rPr>
        <w:t xml:space="preserve"> Consultant to Minter Ellison</w:t>
      </w:r>
      <w:r>
        <w:rPr>
          <w:rFonts w:ascii="Arial" w:hAnsi="Arial" w:cs="Arial"/>
          <w:color w:val="auto"/>
          <w:sz w:val="18"/>
          <w:szCs w:val="18"/>
        </w:rPr>
        <w:t xml:space="preserve"> and a </w:t>
      </w:r>
      <w:r w:rsidR="004931FC">
        <w:rPr>
          <w:rFonts w:ascii="Arial" w:hAnsi="Arial" w:cs="Arial"/>
          <w:color w:val="auto"/>
          <w:sz w:val="18"/>
          <w:szCs w:val="18"/>
        </w:rPr>
        <w:t xml:space="preserve">guest lecturer </w:t>
      </w:r>
      <w:r w:rsidRPr="00C22631">
        <w:rPr>
          <w:rFonts w:ascii="Arial" w:hAnsi="Arial" w:cs="Arial"/>
          <w:color w:val="auto"/>
          <w:sz w:val="18"/>
          <w:szCs w:val="18"/>
        </w:rPr>
        <w:t>at the University of South Australia in procurement and construction law.</w:t>
      </w:r>
    </w:p>
    <w:p w14:paraId="6FA1FF9B" w14:textId="05B53F38" w:rsidR="00B1378D" w:rsidRDefault="00C22631" w:rsidP="00C22631">
      <w:pPr>
        <w:pStyle w:val="MEBioHeading2"/>
        <w:spacing w:line="240" w:lineRule="auto"/>
        <w:rPr>
          <w:rFonts w:ascii="Arial" w:hAnsi="Arial" w:cs="Arial"/>
          <w:color w:val="auto"/>
          <w:sz w:val="18"/>
          <w:szCs w:val="18"/>
        </w:rPr>
      </w:pPr>
      <w:r w:rsidRPr="00C22631">
        <w:rPr>
          <w:rFonts w:ascii="Arial" w:hAnsi="Arial" w:cs="Arial"/>
          <w:color w:val="auto"/>
          <w:sz w:val="18"/>
          <w:szCs w:val="18"/>
        </w:rPr>
        <w:t>Stephen's exper</w:t>
      </w:r>
      <w:r w:rsidR="004931FC">
        <w:rPr>
          <w:rFonts w:ascii="Arial" w:hAnsi="Arial" w:cs="Arial"/>
          <w:color w:val="auto"/>
          <w:sz w:val="18"/>
          <w:szCs w:val="18"/>
        </w:rPr>
        <w:t xml:space="preserve">tise </w:t>
      </w:r>
      <w:r w:rsidRPr="00C22631">
        <w:rPr>
          <w:rFonts w:ascii="Arial" w:hAnsi="Arial" w:cs="Arial"/>
          <w:color w:val="auto"/>
          <w:sz w:val="18"/>
          <w:szCs w:val="18"/>
        </w:rPr>
        <w:t xml:space="preserve">is in the delivery of major projects and covers all phases of </w:t>
      </w:r>
      <w:r w:rsidR="00B1378D">
        <w:rPr>
          <w:rFonts w:ascii="Arial" w:hAnsi="Arial" w:cs="Arial"/>
          <w:color w:val="auto"/>
          <w:sz w:val="18"/>
          <w:szCs w:val="18"/>
        </w:rPr>
        <w:t>project delivery including:</w:t>
      </w:r>
    </w:p>
    <w:p w14:paraId="241D61E2" w14:textId="3848C68F" w:rsidR="008C7545" w:rsidRDefault="004110E8" w:rsidP="003D1DE3">
      <w:pPr>
        <w:pStyle w:val="MEBioHeading2"/>
        <w:numPr>
          <w:ilvl w:val="0"/>
          <w:numId w:val="5"/>
        </w:numPr>
        <w:spacing w:line="240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project </w:t>
      </w:r>
      <w:r w:rsidR="00C22631" w:rsidRPr="00C22631">
        <w:rPr>
          <w:rFonts w:ascii="Arial" w:hAnsi="Arial" w:cs="Arial"/>
          <w:color w:val="auto"/>
          <w:sz w:val="18"/>
          <w:szCs w:val="18"/>
        </w:rPr>
        <w:t>development</w:t>
      </w:r>
      <w:r w:rsidR="00B1378D">
        <w:rPr>
          <w:rFonts w:ascii="Arial" w:hAnsi="Arial" w:cs="Arial"/>
          <w:color w:val="auto"/>
          <w:sz w:val="18"/>
          <w:szCs w:val="18"/>
        </w:rPr>
        <w:t xml:space="preserve"> (including </w:t>
      </w:r>
      <w:r w:rsidR="00C22631" w:rsidRPr="00C22631">
        <w:rPr>
          <w:rFonts w:ascii="Arial" w:hAnsi="Arial" w:cs="Arial"/>
          <w:color w:val="auto"/>
          <w:sz w:val="18"/>
          <w:szCs w:val="18"/>
        </w:rPr>
        <w:t xml:space="preserve">risk </w:t>
      </w:r>
      <w:r w:rsidR="00551250">
        <w:rPr>
          <w:rFonts w:ascii="Arial" w:hAnsi="Arial" w:cs="Arial"/>
          <w:color w:val="auto"/>
          <w:sz w:val="18"/>
          <w:szCs w:val="18"/>
        </w:rPr>
        <w:t xml:space="preserve">identification and </w:t>
      </w:r>
      <w:r w:rsidR="00C22631" w:rsidRPr="00C22631">
        <w:rPr>
          <w:rFonts w:ascii="Arial" w:hAnsi="Arial" w:cs="Arial"/>
          <w:color w:val="auto"/>
          <w:sz w:val="18"/>
          <w:szCs w:val="18"/>
        </w:rPr>
        <w:t>analysis</w:t>
      </w:r>
      <w:r w:rsidR="00B1378D">
        <w:rPr>
          <w:rFonts w:ascii="Arial" w:hAnsi="Arial" w:cs="Arial"/>
          <w:color w:val="auto"/>
          <w:sz w:val="18"/>
          <w:szCs w:val="18"/>
        </w:rPr>
        <w:t>)</w:t>
      </w:r>
    </w:p>
    <w:p w14:paraId="188278AD" w14:textId="52EE4170" w:rsidR="003D1DE3" w:rsidRDefault="004931FC" w:rsidP="003D1DE3">
      <w:pPr>
        <w:pStyle w:val="MEBioHeading2"/>
        <w:numPr>
          <w:ilvl w:val="0"/>
          <w:numId w:val="5"/>
        </w:numPr>
        <w:spacing w:line="240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choosing the most appropriate </w:t>
      </w:r>
      <w:r w:rsidR="00C22631" w:rsidRPr="00C22631">
        <w:rPr>
          <w:rFonts w:ascii="Arial" w:hAnsi="Arial" w:cs="Arial"/>
          <w:color w:val="auto"/>
          <w:sz w:val="18"/>
          <w:szCs w:val="18"/>
        </w:rPr>
        <w:t>procurement strategies</w:t>
      </w:r>
    </w:p>
    <w:p w14:paraId="02B86756" w14:textId="61B6BF0A" w:rsidR="008C7545" w:rsidRPr="00F07D98" w:rsidRDefault="008A3E77" w:rsidP="003D1DE3">
      <w:pPr>
        <w:pStyle w:val="MEBioHeading2"/>
        <w:numPr>
          <w:ilvl w:val="0"/>
          <w:numId w:val="5"/>
        </w:numPr>
        <w:spacing w:line="240" w:lineRule="auto"/>
        <w:rPr>
          <w:rFonts w:ascii="Arial" w:hAnsi="Arial" w:cs="Arial"/>
          <w:color w:val="auto"/>
          <w:sz w:val="18"/>
          <w:szCs w:val="18"/>
        </w:rPr>
      </w:pPr>
      <w:r w:rsidRPr="00F07D98">
        <w:rPr>
          <w:rFonts w:ascii="Arial" w:hAnsi="Arial" w:cs="Arial"/>
          <w:color w:val="auto"/>
          <w:sz w:val="18"/>
          <w:szCs w:val="18"/>
        </w:rPr>
        <w:t>EOI</w:t>
      </w:r>
      <w:r w:rsidR="002F0AEE" w:rsidRPr="00F07D98">
        <w:rPr>
          <w:rFonts w:ascii="Arial" w:hAnsi="Arial" w:cs="Arial"/>
          <w:color w:val="auto"/>
          <w:sz w:val="18"/>
          <w:szCs w:val="18"/>
        </w:rPr>
        <w:t xml:space="preserve"> and RFT </w:t>
      </w:r>
      <w:r w:rsidR="004931FC" w:rsidRPr="00F07D98">
        <w:rPr>
          <w:rFonts w:ascii="Arial" w:hAnsi="Arial" w:cs="Arial"/>
          <w:color w:val="auto"/>
          <w:sz w:val="18"/>
          <w:szCs w:val="18"/>
        </w:rPr>
        <w:t>preparation</w:t>
      </w:r>
      <w:r w:rsidR="00F07D98">
        <w:rPr>
          <w:rFonts w:ascii="Arial" w:hAnsi="Arial" w:cs="Arial"/>
          <w:color w:val="auto"/>
          <w:sz w:val="18"/>
          <w:szCs w:val="18"/>
        </w:rPr>
        <w:t>, submissions</w:t>
      </w:r>
      <w:r w:rsidR="004931FC" w:rsidRPr="00F07D98">
        <w:rPr>
          <w:rFonts w:ascii="Arial" w:hAnsi="Arial" w:cs="Arial"/>
          <w:color w:val="auto"/>
          <w:sz w:val="18"/>
          <w:szCs w:val="18"/>
        </w:rPr>
        <w:t xml:space="preserve"> and evaluation</w:t>
      </w:r>
    </w:p>
    <w:p w14:paraId="541F9C0E" w14:textId="46023D8E" w:rsidR="00C22631" w:rsidRPr="00060531" w:rsidRDefault="004931FC" w:rsidP="00060531">
      <w:pPr>
        <w:pStyle w:val="MEBioHeading2"/>
        <w:numPr>
          <w:ilvl w:val="0"/>
          <w:numId w:val="5"/>
        </w:numPr>
        <w:spacing w:line="240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negotiating and </w:t>
      </w:r>
      <w:r w:rsidR="00C22631" w:rsidRPr="00C22631">
        <w:rPr>
          <w:rFonts w:ascii="Arial" w:hAnsi="Arial" w:cs="Arial"/>
          <w:color w:val="auto"/>
          <w:sz w:val="18"/>
          <w:szCs w:val="18"/>
        </w:rPr>
        <w:t xml:space="preserve">drafting </w:t>
      </w:r>
      <w:r w:rsidR="008A3E77">
        <w:rPr>
          <w:rFonts w:ascii="Arial" w:hAnsi="Arial" w:cs="Arial"/>
          <w:color w:val="auto"/>
          <w:sz w:val="18"/>
          <w:szCs w:val="18"/>
        </w:rPr>
        <w:t xml:space="preserve">a broad range of contracts e.g. </w:t>
      </w:r>
      <w:r w:rsidR="00BB7AE5">
        <w:rPr>
          <w:rFonts w:ascii="Arial" w:hAnsi="Arial" w:cs="Arial"/>
          <w:color w:val="auto"/>
          <w:sz w:val="18"/>
          <w:szCs w:val="18"/>
        </w:rPr>
        <w:t>goods and</w:t>
      </w:r>
      <w:r w:rsidR="005E5071">
        <w:rPr>
          <w:rFonts w:ascii="Arial" w:hAnsi="Arial" w:cs="Arial"/>
          <w:color w:val="auto"/>
          <w:sz w:val="18"/>
          <w:szCs w:val="18"/>
        </w:rPr>
        <w:t>/or</w:t>
      </w:r>
      <w:r w:rsidR="00BB7AE5">
        <w:rPr>
          <w:rFonts w:ascii="Arial" w:hAnsi="Arial" w:cs="Arial"/>
          <w:color w:val="auto"/>
          <w:sz w:val="18"/>
          <w:szCs w:val="18"/>
        </w:rPr>
        <w:t xml:space="preserve"> services supply agreements, consultancy agreements, </w:t>
      </w:r>
      <w:r w:rsidR="000F7775">
        <w:rPr>
          <w:rFonts w:ascii="Arial" w:hAnsi="Arial" w:cs="Arial"/>
          <w:color w:val="auto"/>
          <w:sz w:val="18"/>
          <w:szCs w:val="18"/>
        </w:rPr>
        <w:t xml:space="preserve">construction </w:t>
      </w:r>
      <w:r w:rsidR="00C22631" w:rsidRPr="00C22631">
        <w:rPr>
          <w:rFonts w:ascii="Arial" w:hAnsi="Arial" w:cs="Arial"/>
          <w:color w:val="auto"/>
          <w:sz w:val="18"/>
          <w:szCs w:val="18"/>
        </w:rPr>
        <w:t>contract</w:t>
      </w:r>
      <w:r w:rsidR="00C22631">
        <w:rPr>
          <w:rFonts w:ascii="Arial" w:hAnsi="Arial" w:cs="Arial"/>
          <w:color w:val="auto"/>
          <w:sz w:val="18"/>
          <w:szCs w:val="18"/>
        </w:rPr>
        <w:t>s</w:t>
      </w:r>
      <w:r w:rsidR="002B7410">
        <w:rPr>
          <w:rFonts w:ascii="Arial" w:hAnsi="Arial" w:cs="Arial"/>
          <w:color w:val="auto"/>
          <w:sz w:val="18"/>
          <w:szCs w:val="18"/>
        </w:rPr>
        <w:t xml:space="preserve"> (ECI, D&amp;C, Works, EPC, </w:t>
      </w:r>
      <w:r w:rsidR="005E5071">
        <w:rPr>
          <w:rFonts w:ascii="Arial" w:hAnsi="Arial" w:cs="Arial"/>
          <w:color w:val="auto"/>
          <w:sz w:val="18"/>
          <w:szCs w:val="18"/>
        </w:rPr>
        <w:t xml:space="preserve">EPCM, </w:t>
      </w:r>
      <w:r w:rsidR="00D86BDC">
        <w:rPr>
          <w:rFonts w:ascii="Arial" w:hAnsi="Arial" w:cs="Arial"/>
          <w:color w:val="auto"/>
          <w:sz w:val="18"/>
          <w:szCs w:val="18"/>
        </w:rPr>
        <w:t xml:space="preserve">Managing Contractor, Construction Management, </w:t>
      </w:r>
      <w:r w:rsidR="002B7410">
        <w:rPr>
          <w:rFonts w:ascii="Arial" w:hAnsi="Arial" w:cs="Arial"/>
          <w:color w:val="auto"/>
          <w:sz w:val="18"/>
          <w:szCs w:val="18"/>
        </w:rPr>
        <w:t>O&amp;M</w:t>
      </w:r>
      <w:r w:rsidR="00D86BDC">
        <w:rPr>
          <w:rFonts w:ascii="Arial" w:hAnsi="Arial" w:cs="Arial"/>
          <w:color w:val="auto"/>
          <w:sz w:val="18"/>
          <w:szCs w:val="18"/>
        </w:rPr>
        <w:t>, FM</w:t>
      </w:r>
      <w:r w:rsidR="002B7410">
        <w:rPr>
          <w:rFonts w:ascii="Arial" w:hAnsi="Arial" w:cs="Arial"/>
          <w:color w:val="auto"/>
          <w:sz w:val="18"/>
          <w:szCs w:val="18"/>
        </w:rPr>
        <w:t>)</w:t>
      </w:r>
      <w:r w:rsidR="009477B4">
        <w:rPr>
          <w:rFonts w:ascii="Arial" w:hAnsi="Arial" w:cs="Arial"/>
          <w:color w:val="auto"/>
          <w:sz w:val="18"/>
          <w:szCs w:val="18"/>
        </w:rPr>
        <w:t xml:space="preserve"> </w:t>
      </w:r>
      <w:r w:rsidR="00E703DB">
        <w:rPr>
          <w:rFonts w:ascii="Arial" w:hAnsi="Arial" w:cs="Arial"/>
          <w:color w:val="auto"/>
          <w:sz w:val="18"/>
          <w:szCs w:val="18"/>
        </w:rPr>
        <w:t xml:space="preserve">and </w:t>
      </w:r>
      <w:r w:rsidR="005E5071">
        <w:rPr>
          <w:rFonts w:ascii="Arial" w:hAnsi="Arial" w:cs="Arial"/>
          <w:color w:val="auto"/>
          <w:sz w:val="18"/>
          <w:szCs w:val="18"/>
        </w:rPr>
        <w:t xml:space="preserve">other </w:t>
      </w:r>
      <w:r w:rsidR="009477B4">
        <w:rPr>
          <w:rFonts w:ascii="Arial" w:hAnsi="Arial" w:cs="Arial"/>
          <w:color w:val="auto"/>
          <w:sz w:val="18"/>
          <w:szCs w:val="18"/>
        </w:rPr>
        <w:t xml:space="preserve">ancillary </w:t>
      </w:r>
      <w:r w:rsidR="00E703DB">
        <w:rPr>
          <w:rFonts w:ascii="Arial" w:hAnsi="Arial" w:cs="Arial"/>
          <w:color w:val="auto"/>
          <w:sz w:val="18"/>
          <w:szCs w:val="18"/>
        </w:rPr>
        <w:t xml:space="preserve">services </w:t>
      </w:r>
      <w:r w:rsidR="009477B4">
        <w:rPr>
          <w:rFonts w:ascii="Arial" w:hAnsi="Arial" w:cs="Arial"/>
          <w:color w:val="auto"/>
          <w:sz w:val="18"/>
          <w:szCs w:val="18"/>
        </w:rPr>
        <w:t>agreements</w:t>
      </w:r>
      <w:r w:rsidR="00E703DB">
        <w:rPr>
          <w:rFonts w:ascii="Arial" w:hAnsi="Arial" w:cs="Arial"/>
          <w:color w:val="auto"/>
          <w:sz w:val="18"/>
          <w:szCs w:val="18"/>
        </w:rPr>
        <w:t>.</w:t>
      </w:r>
    </w:p>
    <w:p w14:paraId="65B7F08E" w14:textId="49103380" w:rsidR="00C22631" w:rsidRDefault="00C22631" w:rsidP="00C75461">
      <w:pPr>
        <w:pStyle w:val="MEBioHeading2"/>
        <w:spacing w:line="240" w:lineRule="auto"/>
        <w:rPr>
          <w:rFonts w:ascii="Arial" w:hAnsi="Arial" w:cs="Arial"/>
          <w:color w:val="auto"/>
          <w:sz w:val="18"/>
          <w:szCs w:val="18"/>
        </w:rPr>
      </w:pPr>
      <w:r w:rsidRPr="00F52C3D">
        <w:rPr>
          <w:rFonts w:ascii="Arial" w:hAnsi="Arial" w:cs="Arial"/>
          <w:color w:val="auto"/>
          <w:sz w:val="18"/>
          <w:szCs w:val="18"/>
        </w:rPr>
        <w:t xml:space="preserve">Stephen </w:t>
      </w:r>
      <w:r>
        <w:rPr>
          <w:rFonts w:ascii="Arial" w:hAnsi="Arial" w:cs="Arial"/>
          <w:color w:val="auto"/>
          <w:sz w:val="18"/>
          <w:szCs w:val="18"/>
        </w:rPr>
        <w:t xml:space="preserve">has previously </w:t>
      </w:r>
      <w:r w:rsidRPr="00F52C3D">
        <w:rPr>
          <w:rFonts w:ascii="Arial" w:hAnsi="Arial" w:cs="Arial"/>
          <w:color w:val="auto"/>
          <w:sz w:val="18"/>
          <w:szCs w:val="18"/>
        </w:rPr>
        <w:t xml:space="preserve">worked as a </w:t>
      </w:r>
      <w:r>
        <w:rPr>
          <w:rFonts w:ascii="Arial" w:hAnsi="Arial" w:cs="Arial"/>
          <w:color w:val="auto"/>
          <w:sz w:val="18"/>
          <w:szCs w:val="18"/>
        </w:rPr>
        <w:t xml:space="preserve">projects </w:t>
      </w:r>
      <w:r w:rsidRPr="00F52C3D">
        <w:rPr>
          <w:rFonts w:ascii="Arial" w:hAnsi="Arial" w:cs="Arial"/>
          <w:color w:val="auto"/>
          <w:sz w:val="18"/>
          <w:szCs w:val="18"/>
        </w:rPr>
        <w:t xml:space="preserve">lawyer </w:t>
      </w:r>
      <w:r>
        <w:rPr>
          <w:rFonts w:ascii="Arial" w:hAnsi="Arial" w:cs="Arial"/>
          <w:color w:val="auto"/>
          <w:sz w:val="18"/>
          <w:szCs w:val="18"/>
        </w:rPr>
        <w:t>with Herbert Smith Freehill</w:t>
      </w:r>
      <w:r w:rsidR="00F27282">
        <w:rPr>
          <w:rFonts w:ascii="Arial" w:hAnsi="Arial" w:cs="Arial"/>
          <w:color w:val="auto"/>
          <w:sz w:val="18"/>
          <w:szCs w:val="18"/>
        </w:rPr>
        <w:t xml:space="preserve">s and Corrs Chambers Westgarth (in </w:t>
      </w:r>
      <w:r>
        <w:rPr>
          <w:rFonts w:ascii="Arial" w:hAnsi="Arial" w:cs="Arial"/>
          <w:color w:val="auto"/>
          <w:sz w:val="18"/>
          <w:szCs w:val="18"/>
        </w:rPr>
        <w:t xml:space="preserve"> Melbourne</w:t>
      </w:r>
      <w:r w:rsidR="00F27282">
        <w:rPr>
          <w:rFonts w:ascii="Arial" w:hAnsi="Arial" w:cs="Arial"/>
          <w:color w:val="auto"/>
          <w:sz w:val="18"/>
          <w:szCs w:val="18"/>
        </w:rPr>
        <w:t>)</w:t>
      </w:r>
      <w:r>
        <w:rPr>
          <w:rFonts w:ascii="Arial" w:hAnsi="Arial" w:cs="Arial"/>
          <w:color w:val="auto"/>
          <w:sz w:val="18"/>
          <w:szCs w:val="18"/>
        </w:rPr>
        <w:t xml:space="preserve">, as well as in house as </w:t>
      </w:r>
      <w:r w:rsidRPr="00F52C3D">
        <w:rPr>
          <w:rFonts w:ascii="Arial" w:hAnsi="Arial" w:cs="Arial"/>
          <w:color w:val="auto"/>
          <w:sz w:val="18"/>
          <w:szCs w:val="18"/>
        </w:rPr>
        <w:t xml:space="preserve">Acting General Counsel of Melbourne Airport </w:t>
      </w:r>
      <w:r>
        <w:rPr>
          <w:rFonts w:ascii="Arial" w:hAnsi="Arial" w:cs="Arial"/>
          <w:color w:val="auto"/>
          <w:sz w:val="18"/>
          <w:szCs w:val="18"/>
        </w:rPr>
        <w:t xml:space="preserve">and as </w:t>
      </w:r>
      <w:r w:rsidR="004931FC">
        <w:rPr>
          <w:rFonts w:ascii="Arial" w:hAnsi="Arial" w:cs="Arial"/>
          <w:color w:val="auto"/>
          <w:sz w:val="18"/>
          <w:szCs w:val="18"/>
        </w:rPr>
        <w:t xml:space="preserve">corporate </w:t>
      </w:r>
      <w:r w:rsidRPr="00F52C3D">
        <w:rPr>
          <w:rFonts w:ascii="Arial" w:hAnsi="Arial" w:cs="Arial"/>
          <w:color w:val="auto"/>
          <w:sz w:val="18"/>
          <w:szCs w:val="18"/>
        </w:rPr>
        <w:t>counsel with Pacific Hydro</w:t>
      </w:r>
      <w:r>
        <w:rPr>
          <w:rFonts w:ascii="Arial" w:hAnsi="Arial" w:cs="Arial"/>
          <w:color w:val="auto"/>
          <w:sz w:val="18"/>
          <w:szCs w:val="18"/>
        </w:rPr>
        <w:t>.</w:t>
      </w:r>
      <w:r w:rsidRPr="00F52C3D"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 xml:space="preserve">He </w:t>
      </w:r>
      <w:r w:rsidRPr="00F52C3D">
        <w:rPr>
          <w:rFonts w:ascii="Arial" w:hAnsi="Arial" w:cs="Arial"/>
          <w:color w:val="auto"/>
          <w:sz w:val="18"/>
          <w:szCs w:val="18"/>
        </w:rPr>
        <w:t>has also held various legal roles in the public sector, including as a corporate lawyer with the Victorian Department of Transport and as a legal advisor to the Attorney-General of Victoria.</w:t>
      </w:r>
    </w:p>
    <w:p w14:paraId="3B073D20" w14:textId="77777777" w:rsidR="008020E6" w:rsidRPr="00520756" w:rsidRDefault="00F52C3D" w:rsidP="00520756">
      <w:pPr>
        <w:pStyle w:val="MEBioHeading2"/>
        <w:spacing w:line="240" w:lineRule="auto"/>
        <w:rPr>
          <w:rFonts w:ascii="Arial" w:hAnsi="Arial" w:cs="Arial"/>
          <w:color w:val="auto"/>
          <w:sz w:val="18"/>
          <w:szCs w:val="18"/>
        </w:rPr>
      </w:pPr>
      <w:r w:rsidRPr="00520756">
        <w:rPr>
          <w:rFonts w:ascii="Arial" w:hAnsi="Arial" w:cs="Arial"/>
          <w:color w:val="auto"/>
          <w:sz w:val="18"/>
          <w:szCs w:val="18"/>
        </w:rPr>
        <w:t>Stephen has</w:t>
      </w:r>
      <w:r w:rsidR="00A92509" w:rsidRPr="00520756">
        <w:rPr>
          <w:rFonts w:ascii="Arial" w:hAnsi="Arial" w:cs="Arial"/>
          <w:color w:val="auto"/>
          <w:sz w:val="18"/>
          <w:szCs w:val="18"/>
        </w:rPr>
        <w:t xml:space="preserve"> extensive experience in procurement and major project delivery</w:t>
      </w:r>
      <w:r w:rsidR="00C53DBF" w:rsidRPr="00520756">
        <w:rPr>
          <w:rFonts w:ascii="Arial" w:hAnsi="Arial" w:cs="Arial"/>
          <w:color w:val="auto"/>
          <w:sz w:val="18"/>
          <w:szCs w:val="18"/>
        </w:rPr>
        <w:t xml:space="preserve"> </w:t>
      </w:r>
      <w:r w:rsidR="00C22631" w:rsidRPr="00520756">
        <w:rPr>
          <w:rFonts w:ascii="Arial" w:hAnsi="Arial" w:cs="Arial"/>
          <w:color w:val="auto"/>
          <w:sz w:val="18"/>
          <w:szCs w:val="18"/>
        </w:rPr>
        <w:t xml:space="preserve">in a broad range of industries including </w:t>
      </w:r>
      <w:r w:rsidR="00C53DBF" w:rsidRPr="00520756">
        <w:rPr>
          <w:rFonts w:ascii="Arial" w:hAnsi="Arial" w:cs="Arial"/>
          <w:color w:val="auto"/>
          <w:sz w:val="18"/>
          <w:szCs w:val="18"/>
        </w:rPr>
        <w:t xml:space="preserve"> </w:t>
      </w:r>
      <w:r w:rsidR="00525188" w:rsidRPr="00520756">
        <w:rPr>
          <w:rFonts w:ascii="Arial" w:hAnsi="Arial" w:cs="Arial"/>
          <w:color w:val="auto"/>
          <w:sz w:val="18"/>
          <w:szCs w:val="18"/>
        </w:rPr>
        <w:t xml:space="preserve">the </w:t>
      </w:r>
      <w:r w:rsidR="004C0496" w:rsidRPr="00520756">
        <w:rPr>
          <w:rFonts w:ascii="Arial" w:hAnsi="Arial" w:cs="Arial"/>
          <w:color w:val="auto"/>
          <w:sz w:val="18"/>
          <w:szCs w:val="18"/>
        </w:rPr>
        <w:t xml:space="preserve">transport, </w:t>
      </w:r>
      <w:r w:rsidR="00C53DBF" w:rsidRPr="00520756">
        <w:rPr>
          <w:rFonts w:ascii="Arial" w:hAnsi="Arial" w:cs="Arial"/>
          <w:color w:val="auto"/>
          <w:sz w:val="18"/>
          <w:szCs w:val="18"/>
        </w:rPr>
        <w:t>mining, commercial</w:t>
      </w:r>
      <w:r w:rsidR="00C22631" w:rsidRPr="00520756">
        <w:rPr>
          <w:rFonts w:ascii="Arial" w:hAnsi="Arial" w:cs="Arial"/>
          <w:color w:val="auto"/>
          <w:sz w:val="18"/>
          <w:szCs w:val="18"/>
        </w:rPr>
        <w:t xml:space="preserve"> property </w:t>
      </w:r>
      <w:r w:rsidR="00C53DBF" w:rsidRPr="00520756">
        <w:rPr>
          <w:rFonts w:ascii="Arial" w:hAnsi="Arial" w:cs="Arial"/>
          <w:color w:val="auto"/>
          <w:sz w:val="18"/>
          <w:szCs w:val="18"/>
        </w:rPr>
        <w:t>development</w:t>
      </w:r>
      <w:r w:rsidR="004C0496" w:rsidRPr="00520756">
        <w:rPr>
          <w:rFonts w:ascii="Arial" w:hAnsi="Arial" w:cs="Arial"/>
          <w:color w:val="auto"/>
          <w:sz w:val="18"/>
          <w:szCs w:val="18"/>
        </w:rPr>
        <w:t>, education</w:t>
      </w:r>
      <w:r w:rsidR="00C53DBF" w:rsidRPr="00520756">
        <w:rPr>
          <w:rFonts w:ascii="Arial" w:hAnsi="Arial" w:cs="Arial"/>
          <w:color w:val="auto"/>
          <w:sz w:val="18"/>
          <w:szCs w:val="18"/>
        </w:rPr>
        <w:t xml:space="preserve"> and energy </w:t>
      </w:r>
      <w:r w:rsidR="00525188" w:rsidRPr="00520756">
        <w:rPr>
          <w:rFonts w:ascii="Arial" w:hAnsi="Arial" w:cs="Arial"/>
          <w:color w:val="auto"/>
          <w:sz w:val="18"/>
          <w:szCs w:val="18"/>
        </w:rPr>
        <w:t>sectors</w:t>
      </w:r>
      <w:r w:rsidR="008020E6" w:rsidRPr="00520756">
        <w:rPr>
          <w:rFonts w:ascii="Arial" w:hAnsi="Arial" w:cs="Arial"/>
          <w:color w:val="auto"/>
          <w:sz w:val="18"/>
          <w:szCs w:val="18"/>
        </w:rPr>
        <w:t>.</w:t>
      </w:r>
    </w:p>
    <w:p w14:paraId="166DE685" w14:textId="4F4030D2" w:rsidR="00F2275F" w:rsidRDefault="00FF5F94" w:rsidP="00BC0F3D">
      <w:pPr>
        <w:pStyle w:val="Style1"/>
        <w:ind w:left="0" w:firstLine="0"/>
      </w:pPr>
      <w:r w:rsidRPr="001E0568">
        <w:rPr>
          <w:rFonts w:ascii="Arial" w:hAnsi="Arial" w:cs="Arial"/>
          <w:sz w:val="18"/>
          <w:szCs w:val="18"/>
        </w:rPr>
        <w:t xml:space="preserve"> </w:t>
      </w:r>
    </w:p>
    <w:sectPr w:rsidR="00F2275F" w:rsidSect="00FF5F94">
      <w:headerReference w:type="default" r:id="rId9"/>
      <w:foot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9B5FD" w14:textId="77777777" w:rsidR="001E481C" w:rsidRDefault="001E481C" w:rsidP="00C75461">
      <w:pPr>
        <w:spacing w:after="0" w:line="240" w:lineRule="auto"/>
      </w:pPr>
      <w:r>
        <w:separator/>
      </w:r>
    </w:p>
  </w:endnote>
  <w:endnote w:type="continuationSeparator" w:id="0">
    <w:p w14:paraId="4B3177C4" w14:textId="77777777" w:rsidR="001E481C" w:rsidRDefault="001E481C" w:rsidP="00C7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90122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B1A768" w14:textId="4D81E391" w:rsidR="001E481C" w:rsidRDefault="001E481C">
        <w:pPr>
          <w:pStyle w:val="Footer"/>
          <w:jc w:val="center"/>
        </w:pPr>
        <w:r w:rsidRPr="00A92509">
          <w:rPr>
            <w:rFonts w:ascii="Arial" w:hAnsi="Arial" w:cs="Arial"/>
            <w:sz w:val="16"/>
            <w:szCs w:val="16"/>
          </w:rPr>
          <w:fldChar w:fldCharType="begin"/>
        </w:r>
        <w:r w:rsidRPr="00A92509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A92509">
          <w:rPr>
            <w:rFonts w:ascii="Arial" w:hAnsi="Arial" w:cs="Arial"/>
            <w:sz w:val="16"/>
            <w:szCs w:val="16"/>
          </w:rPr>
          <w:fldChar w:fldCharType="separate"/>
        </w:r>
        <w:r w:rsidR="001321A7">
          <w:rPr>
            <w:rFonts w:ascii="Arial" w:hAnsi="Arial" w:cs="Arial"/>
            <w:noProof/>
            <w:sz w:val="16"/>
            <w:szCs w:val="16"/>
          </w:rPr>
          <w:t>1</w:t>
        </w:r>
        <w:r w:rsidRPr="00A92509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455D8EB0" w14:textId="4E19E311" w:rsidR="001E481C" w:rsidRPr="00F52C3D" w:rsidRDefault="001E481C" w:rsidP="00FF5F9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7BFDD" w14:textId="77777777" w:rsidR="001E481C" w:rsidRDefault="001E481C" w:rsidP="00C75461">
      <w:pPr>
        <w:spacing w:after="0" w:line="240" w:lineRule="auto"/>
      </w:pPr>
      <w:r>
        <w:separator/>
      </w:r>
    </w:p>
  </w:footnote>
  <w:footnote w:type="continuationSeparator" w:id="0">
    <w:p w14:paraId="3344B493" w14:textId="77777777" w:rsidR="001E481C" w:rsidRDefault="001E481C" w:rsidP="00C75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C7F6B" w14:textId="71F98E8C" w:rsidR="001E481C" w:rsidRDefault="001E481C" w:rsidP="00FF5F9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150540"/>
    <w:multiLevelType w:val="hybridMultilevel"/>
    <w:tmpl w:val="2BEC58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970146"/>
    <w:multiLevelType w:val="multilevel"/>
    <w:tmpl w:val="A70C15B4"/>
    <w:styleLink w:val="Bullets"/>
    <w:lvl w:ilvl="0">
      <w:start w:val="1"/>
      <w:numFmt w:val="bullet"/>
      <w:pStyle w:val="Bullet1"/>
      <w:lvlText w:val=""/>
      <w:lvlJc w:val="left"/>
      <w:pPr>
        <w:ind w:left="227" w:hanging="227"/>
      </w:pPr>
      <w:rPr>
        <w:rFonts w:ascii="Symbol" w:hAnsi="Symbol" w:hint="default"/>
        <w:color w:val="C00000"/>
      </w:rPr>
    </w:lvl>
    <w:lvl w:ilvl="1">
      <w:start w:val="1"/>
      <w:numFmt w:val="none"/>
      <w:pStyle w:val="Bullet2"/>
      <w:lvlText w:val="-"/>
      <w:lvlJc w:val="left"/>
      <w:pPr>
        <w:ind w:left="454" w:hanging="227"/>
      </w:pPr>
      <w:rPr>
        <w:rFonts w:hint="default"/>
        <w:color w:val="C00000"/>
      </w:rPr>
    </w:lvl>
    <w:lvl w:ilvl="2">
      <w:start w:val="1"/>
      <w:numFmt w:val="bullet"/>
      <w:pStyle w:val="Bullet3"/>
      <w:lvlText w:val=""/>
      <w:lvlJc w:val="left"/>
      <w:pPr>
        <w:tabs>
          <w:tab w:val="num" w:pos="454"/>
        </w:tabs>
        <w:ind w:left="680" w:hanging="226"/>
      </w:pPr>
      <w:rPr>
        <w:rFonts w:ascii="Symbol" w:hAnsi="Symbol" w:hint="default"/>
        <w:color w:val="C00000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BC52FE3"/>
    <w:multiLevelType w:val="hybridMultilevel"/>
    <w:tmpl w:val="A23EC3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86317F"/>
    <w:multiLevelType w:val="multilevel"/>
    <w:tmpl w:val="A70C15B4"/>
    <w:numStyleLink w:val="Bullets"/>
  </w:abstractNum>
  <w:num w:numId="1">
    <w:abstractNumId w:val="1"/>
  </w:num>
  <w:num w:numId="2">
    <w:abstractNumId w:val="3"/>
  </w:num>
  <w:num w:numId="3">
    <w:abstractNumId w:val="3"/>
    <w:lvlOverride w:ilvl="0">
      <w:startOverride w:val="1"/>
      <w:lvl w:ilvl="0">
        <w:start w:val="1"/>
        <w:numFmt w:val="bullet"/>
        <w:pStyle w:val="Bullet1"/>
        <w:lvlText w:val=""/>
        <w:lvlJc w:val="left"/>
        <w:pPr>
          <w:ind w:left="227" w:hanging="227"/>
        </w:pPr>
        <w:rPr>
          <w:rFonts w:ascii="Symbol" w:hAnsi="Symbol" w:hint="default"/>
          <w:color w:val="0070C0"/>
        </w:rPr>
      </w:lvl>
    </w:lvlOverride>
    <w:lvlOverride w:ilvl="1">
      <w:startOverride w:val="1"/>
      <w:lvl w:ilvl="1">
        <w:start w:val="1"/>
        <w:numFmt w:val="decimal"/>
        <w:pStyle w:val="Bullet2"/>
        <w:lvlText w:val=""/>
        <w:lvlJc w:val="left"/>
      </w:lvl>
    </w:lvlOverride>
    <w:lvlOverride w:ilvl="2">
      <w:lvl w:ilvl="2">
        <w:numFmt w:val="decimal"/>
        <w:pStyle w:val="Bullet3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461"/>
    <w:rsid w:val="00002AFF"/>
    <w:rsid w:val="00060531"/>
    <w:rsid w:val="00063F36"/>
    <w:rsid w:val="000805B0"/>
    <w:rsid w:val="000F7775"/>
    <w:rsid w:val="001145A1"/>
    <w:rsid w:val="001321A7"/>
    <w:rsid w:val="0013298D"/>
    <w:rsid w:val="001E0568"/>
    <w:rsid w:val="001E481C"/>
    <w:rsid w:val="00232231"/>
    <w:rsid w:val="002517B7"/>
    <w:rsid w:val="002B7410"/>
    <w:rsid w:val="002F0AEE"/>
    <w:rsid w:val="00310309"/>
    <w:rsid w:val="003A3ADE"/>
    <w:rsid w:val="003D1DE3"/>
    <w:rsid w:val="003F3E97"/>
    <w:rsid w:val="004110E8"/>
    <w:rsid w:val="004931FC"/>
    <w:rsid w:val="004C0496"/>
    <w:rsid w:val="004D275D"/>
    <w:rsid w:val="00520756"/>
    <w:rsid w:val="00525188"/>
    <w:rsid w:val="00551250"/>
    <w:rsid w:val="00567713"/>
    <w:rsid w:val="00573166"/>
    <w:rsid w:val="005B482F"/>
    <w:rsid w:val="005E5071"/>
    <w:rsid w:val="00615E6F"/>
    <w:rsid w:val="00676FE4"/>
    <w:rsid w:val="006E75B8"/>
    <w:rsid w:val="0070054D"/>
    <w:rsid w:val="00750DD8"/>
    <w:rsid w:val="007918F6"/>
    <w:rsid w:val="007C284D"/>
    <w:rsid w:val="007F6325"/>
    <w:rsid w:val="008020E6"/>
    <w:rsid w:val="00851140"/>
    <w:rsid w:val="008A3E77"/>
    <w:rsid w:val="008B3592"/>
    <w:rsid w:val="008C7545"/>
    <w:rsid w:val="009477B4"/>
    <w:rsid w:val="009A2552"/>
    <w:rsid w:val="00A92509"/>
    <w:rsid w:val="00A97A17"/>
    <w:rsid w:val="00B1378D"/>
    <w:rsid w:val="00B40C66"/>
    <w:rsid w:val="00BB7AE5"/>
    <w:rsid w:val="00BB7AEF"/>
    <w:rsid w:val="00BC0F3D"/>
    <w:rsid w:val="00BE765D"/>
    <w:rsid w:val="00C112D3"/>
    <w:rsid w:val="00C22631"/>
    <w:rsid w:val="00C53DBF"/>
    <w:rsid w:val="00C75461"/>
    <w:rsid w:val="00D14314"/>
    <w:rsid w:val="00D23ACE"/>
    <w:rsid w:val="00D86BDC"/>
    <w:rsid w:val="00DC00F6"/>
    <w:rsid w:val="00DE344E"/>
    <w:rsid w:val="00E232BE"/>
    <w:rsid w:val="00E252F4"/>
    <w:rsid w:val="00E703DB"/>
    <w:rsid w:val="00E86F35"/>
    <w:rsid w:val="00F07D98"/>
    <w:rsid w:val="00F2275F"/>
    <w:rsid w:val="00F27282"/>
    <w:rsid w:val="00F52C3D"/>
    <w:rsid w:val="00F9079E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2A56CCF"/>
  <w15:chartTrackingRefBased/>
  <w15:docId w15:val="{C8B77F9C-8C46-4912-A898-26E8DB48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5461"/>
    <w:pPr>
      <w:spacing w:after="120" w:line="260" w:lineRule="atLeast"/>
    </w:pPr>
    <w:rPr>
      <w:rFonts w:ascii="Calibri" w:eastAsia="Times New Roman" w:hAnsi="Calibri" w:cs="Angsana New"/>
      <w:sz w:val="20"/>
      <w:lang w:val="en-AU"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LawyerName">
    <w:name w:val="ME Lawyer Name"/>
    <w:basedOn w:val="Normal"/>
    <w:next w:val="Normal"/>
    <w:qFormat/>
    <w:rsid w:val="00C75461"/>
    <w:pPr>
      <w:spacing w:before="120" w:after="280" w:line="320" w:lineRule="atLeast"/>
    </w:pPr>
    <w:rPr>
      <w:b/>
      <w:color w:val="CC0000"/>
      <w:sz w:val="24"/>
    </w:rPr>
  </w:style>
  <w:style w:type="paragraph" w:customStyle="1" w:styleId="MELawyergroup">
    <w:name w:val="ME Lawyer group"/>
    <w:basedOn w:val="Normal"/>
    <w:next w:val="Normal"/>
    <w:qFormat/>
    <w:rsid w:val="00C75461"/>
    <w:pPr>
      <w:spacing w:after="0"/>
    </w:pPr>
    <w:rPr>
      <w:b/>
    </w:rPr>
  </w:style>
  <w:style w:type="paragraph" w:customStyle="1" w:styleId="MELawyerQualifications">
    <w:name w:val="ME Lawyer Qualifications"/>
    <w:basedOn w:val="Normal"/>
    <w:next w:val="Normal"/>
    <w:qFormat/>
    <w:rsid w:val="00C75461"/>
    <w:rPr>
      <w:caps/>
      <w:sz w:val="16"/>
    </w:rPr>
  </w:style>
  <w:style w:type="paragraph" w:customStyle="1" w:styleId="Bullet1">
    <w:name w:val="Bullet 1"/>
    <w:basedOn w:val="Normal"/>
    <w:qFormat/>
    <w:rsid w:val="00C75461"/>
    <w:pPr>
      <w:numPr>
        <w:numId w:val="2"/>
      </w:numPr>
      <w:spacing w:after="80"/>
    </w:pPr>
  </w:style>
  <w:style w:type="paragraph" w:customStyle="1" w:styleId="Bullet2">
    <w:name w:val="Bullet 2"/>
    <w:basedOn w:val="Normal"/>
    <w:qFormat/>
    <w:rsid w:val="00C75461"/>
    <w:pPr>
      <w:numPr>
        <w:ilvl w:val="1"/>
        <w:numId w:val="2"/>
      </w:numPr>
      <w:spacing w:after="80"/>
    </w:pPr>
  </w:style>
  <w:style w:type="paragraph" w:customStyle="1" w:styleId="Bullet3">
    <w:name w:val="Bullet 3"/>
    <w:basedOn w:val="Normal"/>
    <w:qFormat/>
    <w:rsid w:val="00C75461"/>
    <w:pPr>
      <w:numPr>
        <w:ilvl w:val="2"/>
        <w:numId w:val="2"/>
      </w:numPr>
      <w:spacing w:after="80"/>
    </w:pPr>
  </w:style>
  <w:style w:type="numbering" w:customStyle="1" w:styleId="Bullets">
    <w:name w:val="Bullets"/>
    <w:rsid w:val="00C75461"/>
    <w:pPr>
      <w:numPr>
        <w:numId w:val="1"/>
      </w:numPr>
    </w:pPr>
  </w:style>
  <w:style w:type="paragraph" w:customStyle="1" w:styleId="MEBioHeading2">
    <w:name w:val="ME Bio Heading 2"/>
    <w:basedOn w:val="Normal"/>
    <w:next w:val="Normal"/>
    <w:link w:val="MEBioHeading2Char"/>
    <w:rsid w:val="00C75461"/>
    <w:pPr>
      <w:keepNext/>
      <w:spacing w:before="180" w:line="320" w:lineRule="atLeast"/>
    </w:pPr>
    <w:rPr>
      <w:color w:val="757477"/>
      <w:sz w:val="24"/>
    </w:rPr>
  </w:style>
  <w:style w:type="paragraph" w:customStyle="1" w:styleId="TableBodyText85">
    <w:name w:val="Table Body Text 8.5"/>
    <w:basedOn w:val="Normal"/>
    <w:qFormat/>
    <w:rsid w:val="00C75461"/>
    <w:pPr>
      <w:spacing w:before="120" w:line="240" w:lineRule="atLeast"/>
    </w:pPr>
    <w:rPr>
      <w:rFonts w:ascii="Verdana" w:hAnsi="Verdana"/>
      <w:sz w:val="17"/>
    </w:rPr>
  </w:style>
  <w:style w:type="character" w:customStyle="1" w:styleId="MEBioHeading2Char">
    <w:name w:val="ME Bio Heading 2 Char"/>
    <w:link w:val="MEBioHeading2"/>
    <w:rsid w:val="00C75461"/>
    <w:rPr>
      <w:rFonts w:ascii="Calibri" w:eastAsia="Times New Roman" w:hAnsi="Calibri" w:cs="Angsana New"/>
      <w:color w:val="757477"/>
      <w:sz w:val="24"/>
      <w:lang w:val="en-AU" w:eastAsia="zh-CN" w:bidi="th-TH"/>
    </w:rPr>
  </w:style>
  <w:style w:type="character" w:customStyle="1" w:styleId="Style1Char">
    <w:name w:val="Style1 Char"/>
    <w:link w:val="Style1"/>
    <w:locked/>
    <w:rsid w:val="00C75461"/>
    <w:rPr>
      <w:rFonts w:cs="Angsana New"/>
      <w:lang w:bidi="th-TH"/>
    </w:rPr>
  </w:style>
  <w:style w:type="paragraph" w:customStyle="1" w:styleId="Style1">
    <w:name w:val="Style1"/>
    <w:basedOn w:val="Normal"/>
    <w:link w:val="Style1Char"/>
    <w:qFormat/>
    <w:rsid w:val="00C75461"/>
    <w:pPr>
      <w:snapToGrid w:val="0"/>
      <w:spacing w:line="240" w:lineRule="atLeast"/>
      <w:ind w:left="227" w:hanging="227"/>
    </w:pPr>
    <w:rPr>
      <w:rFonts w:asciiTheme="minorHAnsi" w:eastAsiaTheme="minorHAnsi" w:hAnsiTheme="minorHAnsi"/>
      <w:sz w:val="22"/>
      <w:lang w:val="en-US" w:eastAsia="en-US"/>
    </w:rPr>
  </w:style>
  <w:style w:type="paragraph" w:customStyle="1" w:styleId="MESubheading2">
    <w:name w:val="ME Subheading 2"/>
    <w:basedOn w:val="Normal"/>
    <w:next w:val="Normal"/>
    <w:rsid w:val="00C75461"/>
    <w:pPr>
      <w:keepNext/>
      <w:spacing w:before="60" w:after="60" w:line="240" w:lineRule="atLeast"/>
    </w:pPr>
    <w:rPr>
      <w:rFonts w:ascii="Verdana" w:hAnsi="Verdana"/>
      <w:color w:val="CC0000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C75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461"/>
    <w:rPr>
      <w:rFonts w:ascii="Calibri" w:eastAsia="Times New Roman" w:hAnsi="Calibri" w:cs="Angsana New"/>
      <w:sz w:val="20"/>
      <w:lang w:val="en-AU" w:eastAsia="zh-CN" w:bidi="th-TH"/>
    </w:rPr>
  </w:style>
  <w:style w:type="paragraph" w:styleId="Footer">
    <w:name w:val="footer"/>
    <w:basedOn w:val="Normal"/>
    <w:link w:val="FooterChar"/>
    <w:uiPriority w:val="99"/>
    <w:unhideWhenUsed/>
    <w:rsid w:val="00C75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461"/>
    <w:rPr>
      <w:rFonts w:ascii="Calibri" w:eastAsia="Times New Roman" w:hAnsi="Calibri" w:cs="Angsana New"/>
      <w:sz w:val="20"/>
      <w:lang w:val="en-AU" w:eastAsia="zh-CN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Hawley</dc:creator>
  <cp:keywords/>
  <dc:description/>
  <cp:lastModifiedBy>Legal</cp:lastModifiedBy>
  <cp:revision>38</cp:revision>
  <cp:lastPrinted>2017-07-13T23:23:00Z</cp:lastPrinted>
  <dcterms:created xsi:type="dcterms:W3CDTF">2017-08-24T14:26:00Z</dcterms:created>
  <dcterms:modified xsi:type="dcterms:W3CDTF">2017-08-24T14:50:00Z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_MATTER">
    <vt:lpwstr>313763</vt:lpwstr>
  </property>
  <property fmtid="{D5CDD505-2E9C-101B-9397-08002B2CF9AE}" pid="3" name="DM_CLIENT">
    <vt:lpwstr>MINT-ERS</vt:lpwstr>
  </property>
  <property fmtid="{D5CDD505-2E9C-101B-9397-08002B2CF9AE}" pid="4" name="DM_AUTHOR">
    <vt:lpwstr>AGM</vt:lpwstr>
  </property>
  <property fmtid="{D5CDD505-2E9C-101B-9397-08002B2CF9AE}" pid="5" name="DM_OPERATOR">
    <vt:lpwstr>KAH</vt:lpwstr>
  </property>
  <property fmtid="{D5CDD505-2E9C-101B-9397-08002B2CF9AE}" pid="6" name="DM_DESCRIPTION">
    <vt:lpwstr>SWL</vt:lpwstr>
  </property>
  <property fmtid="{D5CDD505-2E9C-101B-9397-08002B2CF9AE}" pid="7" name="DM_PRECEDENT">
    <vt:lpwstr/>
  </property>
  <property fmtid="{D5CDD505-2E9C-101B-9397-08002B2CF9AE}" pid="8" name="DM_INSERTFOOTER">
    <vt:i4>1</vt:i4>
  </property>
  <property fmtid="{D5CDD505-2E9C-101B-9397-08002B2CF9AE}" pid="9" name="DM_FOOTER1STPAGE">
    <vt:i4>1</vt:i4>
  </property>
  <property fmtid="{D5CDD505-2E9C-101B-9397-08002B2CF9AE}" pid="10" name="DM_DISPVERSIONINFOOTER">
    <vt:i4>0</vt:i4>
  </property>
  <property fmtid="{D5CDD505-2E9C-101B-9397-08002B2CF9AE}" pid="11" name="DM_PROMPTFORVERSION">
    <vt:i4>0</vt:i4>
  </property>
  <property fmtid="{D5CDD505-2E9C-101B-9397-08002B2CF9AE}" pid="12" name="DM_VERSION">
    <vt:i4>1</vt:i4>
  </property>
  <property fmtid="{D5CDD505-2E9C-101B-9397-08002B2CF9AE}" pid="13" name="DM_DISPFILENAMEINFOOTER">
    <vt:lpwstr>313763_466.docx</vt:lpwstr>
  </property>
  <property fmtid="{D5CDD505-2E9C-101B-9397-08002B2CF9AE}" pid="14" name="DM_PHONEBOOK">
    <vt:lpwstr>Minter Ellison GC (No Fees Charged)</vt:lpwstr>
  </property>
  <property fmtid="{D5CDD505-2E9C-101B-9397-08002B2CF9AE}" pid="15" name="DM_AFTYDOCID">
    <vt:i4>2161291</vt:i4>
  </property>
  <property fmtid="{D5CDD505-2E9C-101B-9397-08002B2CF9AE}" pid="16" name="DM_AFTYPDFDOCID">
    <vt:i4>2161292</vt:i4>
  </property>
</Properties>
</file>